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E9B9F3" w14:textId="77777777" w:rsidR="00015C21" w:rsidRDefault="00015C21" w:rsidP="003B209D"/>
    <w:p w14:paraId="0117DC50" w14:textId="77777777" w:rsidR="003B209D" w:rsidRPr="003B209D" w:rsidRDefault="003B209D" w:rsidP="003B209D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OPIS PRZEDMIOTU ZAMÓWIENIA</w:t>
      </w:r>
    </w:p>
    <w:p w14:paraId="0B6B9A98" w14:textId="6899B377" w:rsidR="003B209D" w:rsidRDefault="00823BD2" w:rsidP="00823BD2">
      <w:pPr>
        <w:spacing w:after="0" w:line="276" w:lineRule="auto"/>
        <w:jc w:val="center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  <w:r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Część 1</w:t>
      </w:r>
    </w:p>
    <w:p w14:paraId="3C3D7DEE" w14:textId="77777777" w:rsidR="00823BD2" w:rsidRPr="003B209D" w:rsidRDefault="00823BD2" w:rsidP="003B209D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3A166F2B" w14:textId="77777777" w:rsidR="003B209D" w:rsidRPr="003B209D" w:rsidRDefault="003B209D" w:rsidP="003B209D">
      <w:pPr>
        <w:numPr>
          <w:ilvl w:val="0"/>
          <w:numId w:val="2"/>
        </w:num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B209D">
        <w:rPr>
          <w:rFonts w:ascii="Arial" w:eastAsia="Calibri" w:hAnsi="Arial" w:cs="Arial"/>
          <w:kern w:val="0"/>
          <w:sz w:val="20"/>
          <w:szCs w:val="20"/>
          <w14:ligatures w14:val="none"/>
        </w:rPr>
        <w:t>Dostawa i montaż serwera usług zarządzania użytkownikami i systemami dla Urzędu Miejskiego w Lipnie wraz z instalacją</w:t>
      </w:r>
      <w:r w:rsidRPr="003B209D">
        <w:rPr>
          <w:rFonts w:ascii="Calibri" w:eastAsia="Calibri" w:hAnsi="Calibri" w:cs="Calibri"/>
          <w:color w:val="000000"/>
          <w:kern w:val="0"/>
          <w:sz w:val="22"/>
          <w:szCs w:val="22"/>
          <w14:ligatures w14:val="none"/>
        </w:rPr>
        <w:t xml:space="preserve"> </w:t>
      </w: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- liczba sztuk: 2</w:t>
      </w:r>
    </w:p>
    <w:p w14:paraId="09B3A193" w14:textId="77777777" w:rsidR="003B209D" w:rsidRPr="003B209D" w:rsidRDefault="003B209D" w:rsidP="003B209D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tbl>
      <w:tblPr>
        <w:tblW w:w="9510" w:type="dxa"/>
        <w:tblInd w:w="-1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213"/>
        <w:gridCol w:w="7297"/>
      </w:tblGrid>
      <w:tr w:rsidR="003B209D" w:rsidRPr="003B209D" w14:paraId="7DBFB94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4A313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Parametr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84EAFE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Charakterystyka (wymagania minimalne)</w:t>
            </w:r>
          </w:p>
        </w:tc>
      </w:tr>
      <w:tr w:rsidR="003B209D" w:rsidRPr="003B209D" w14:paraId="027E8982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3338F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Obudowa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1C94A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Obudowa Rack z możliwością instalacji min. 16 dysków 3.5” / 2.5” U.2 wraz z kompletem wysuwanych szyn umożliwiających montaż w szafie rack i wysuwanie serwera do celów serwisowych oraz organizatorem do kabli.</w:t>
            </w:r>
          </w:p>
        </w:tc>
      </w:tr>
      <w:tr w:rsidR="003B209D" w:rsidRPr="003B209D" w14:paraId="36DADFCE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6DE95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Płyta główna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29E63E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Płyta główna z możliwością zainstalowania do dwóch procesorów. </w:t>
            </w:r>
          </w:p>
          <w:p w14:paraId="216BCB4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Obsługa procesorów 48 rdzeniowych. </w:t>
            </w:r>
          </w:p>
          <w:p w14:paraId="3F62DA6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Na płycie głównej powinno znajdować się minimum 32 sloty przeznaczone do instalacji pamięci. </w:t>
            </w:r>
          </w:p>
          <w:p w14:paraId="4E62942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Płyta główna powinna obsługiwać do 1TB pamięci RAM.</w:t>
            </w:r>
          </w:p>
        </w:tc>
      </w:tr>
      <w:tr w:rsidR="003B209D" w:rsidRPr="003B209D" w14:paraId="213377F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5C8C5C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Procesor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58BC1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zainstalowane dwa min. 24-rdzeniowe procesory umożliwiające osiągnięcie wyniku min. 400 w teście SPECrate2017_int_base, dostępnym na stronie www.spec.org dla konfiguracji dwuprocesorowej.</w:t>
            </w:r>
          </w:p>
        </w:tc>
      </w:tr>
      <w:tr w:rsidR="003B209D" w:rsidRPr="003B209D" w14:paraId="4FFA80D5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8D595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RAM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FA9CBC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Minimum 512GB pamięci DDR5</w:t>
            </w:r>
          </w:p>
        </w:tc>
      </w:tr>
      <w:tr w:rsidR="003B209D" w:rsidRPr="003B209D" w14:paraId="6DA73936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82D3D6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Interfejsy sieciowe/FC/SAS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A9A547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Wbudowane min. 1 interfejsy sieciowe 1Gb Ethernet w standardzie BaseT oraz 2 interfejsy sieciowe Ethernet w standardzie SFP28 10GBe</w:t>
            </w:r>
          </w:p>
        </w:tc>
      </w:tr>
      <w:tr w:rsidR="003B209D" w:rsidRPr="003B209D" w14:paraId="07A531AC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34AC09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Dyski twarde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CBDB0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Zainstalowane: </w:t>
            </w:r>
          </w:p>
          <w:p w14:paraId="189EFB9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2x dyski NVMe SSD o pojemności 1TB w RAID1</w:t>
            </w:r>
          </w:p>
          <w:p w14:paraId="26263AA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3x dyski NVMe U.2 lub U.3 o pojemności min. 3.84TB w RAID1</w:t>
            </w:r>
          </w:p>
          <w:p w14:paraId="23A4E30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 dyski HDD Enterprise o pojemności min. 18TB  z możliwością konfiguracji w RAID5</w:t>
            </w:r>
          </w:p>
        </w:tc>
      </w:tr>
      <w:tr w:rsidR="003B209D" w:rsidRPr="003B209D" w14:paraId="3BBAF70B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76F4F9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Kontroler RAID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44CAE2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Sprzętowy kontroler dyskowy, posiadający. min. 8GB nieulotnej pamięci cache,</w:t>
            </w:r>
          </w:p>
          <w:p w14:paraId="7CC2737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konfiguracji poziomów RAID: 0, 1, 5, 6, 10, 50, 60.</w:t>
            </w:r>
          </w:p>
          <w:p w14:paraId="4AD3D5B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Wsparcie dla dysków samoszyfrujących. Obsługa dysków SATA/SAS/NVMe.</w:t>
            </w:r>
          </w:p>
        </w:tc>
      </w:tr>
      <w:tr w:rsidR="003B209D" w:rsidRPr="003B209D" w14:paraId="4CC8074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EA43CD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Wbudowane porty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BF91E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4x USB, w tym min. 1 porty USB 3.0 </w:t>
            </w:r>
          </w:p>
          <w:p w14:paraId="494DE7F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2x port VGA (jeden na panelu przednim)</w:t>
            </w:r>
          </w:p>
        </w:tc>
      </w:tr>
      <w:tr w:rsidR="003B209D" w:rsidRPr="003B209D" w14:paraId="1E08EB5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0CB285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Wentylatory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CD8A39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Redundantne, Hot-Plug</w:t>
            </w:r>
          </w:p>
        </w:tc>
      </w:tr>
      <w:tr w:rsidR="003B209D" w:rsidRPr="003B209D" w14:paraId="6D1EB000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3847E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Zasilacze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52A918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Redundantne, Hot-Plug min. 1100W klasy Titanium</w:t>
            </w:r>
          </w:p>
        </w:tc>
      </w:tr>
      <w:tr w:rsidR="003B209D" w:rsidRPr="003B209D" w14:paraId="7407FFCF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52F1C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System operacyjny/dodatkowe oprogramowanie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21229D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Licencja na serwerowy system operacyjny, w wersji najnowszej oferowanej przez producenta musi uprawniać do zainstalowania serwerowego systemu operacyjnego w środowisku fizycznym lub umożliwiać zainstalowanie dwóch instancji wirtualnych tego serwerowego systemu operacyjnego.</w:t>
            </w:r>
          </w:p>
          <w:p w14:paraId="0DDC396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Licencja musi zostać tak dobrana aby była zgodna z zasadami licencjonowania producenta oraz pozwalała na legalne używanie na zaoferowanym serwerze. Dostarczona licencja powinna umożliwiać korzystanie z usług serwera przez 60 użytkowników. </w:t>
            </w:r>
          </w:p>
          <w:p w14:paraId="549320E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Serwerowy system operacyjny musi posiadać następujące, wbudowane cechy. </w:t>
            </w:r>
          </w:p>
          <w:p w14:paraId="2B6116E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1) Możliwość migracji maszyn wirtualnych bez zatrzymywania ich pracy między fizycznymi serwerami z uruchomionym mechanizmem wirtualizacji (hypervisor) przez sieć Ethernet, bez konieczności stosowania dodatkowych mechanizmów współdzielenia pamięci. </w:t>
            </w:r>
          </w:p>
          <w:p w14:paraId="46B87A7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2) Wsparcie (na umożliwiającym to sprzęcie) dodawania  i wymiany pamięci RAM bez przerywania pracy. </w:t>
            </w:r>
          </w:p>
          <w:p w14:paraId="2E3F7D0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3) Automatyczna weryfikacja cyfrowych sygnatur sterowników w celu sprawdzenia, czy sterownik przeszedł testy jakości przeprowadzone przez producenta systemu operacyjnego. </w:t>
            </w:r>
          </w:p>
          <w:p w14:paraId="54AB4B4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4) Możliwość dynamicznego obniżania poboru energii przez rdzenie procesorów niewykorzystywane w bieżącej pracy. Mechanizm ten musi uwzględniać specyfikę procesorów wyposażonych w mechanizmy Hyper-Threading. </w:t>
            </w:r>
          </w:p>
          <w:p w14:paraId="4A74D52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5) Wbudowane wsparcie instalacji i pracy na wolumenach, które: </w:t>
            </w:r>
          </w:p>
          <w:p w14:paraId="7F22805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a) pozwalają na zmianę rozmiaru w czasie pracy systemu, </w:t>
            </w:r>
          </w:p>
          <w:p w14:paraId="69A1E8B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b) umożliwiają tworzenie w czasie pracy systemu migawek, dających użytkownikom końcowym (lokalnym  i sieciowym) prosty wgląd w poprzednie wersje plików i folderów, </w:t>
            </w:r>
          </w:p>
          <w:p w14:paraId="0369720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c) umożliwiają kompresję "w locie" dla wybranych plików i/lub folderów, </w:t>
            </w:r>
          </w:p>
          <w:p w14:paraId="7F47225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d) umożliwiają zdefiniowanie list kontroli dostępu (ACL). </w:t>
            </w:r>
          </w:p>
          <w:p w14:paraId="66FD7A9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6) Wbudowany mechanizm klasyfikowania i indeksowania plików (dokumentów) w oparciu o ich zawartość. </w:t>
            </w:r>
          </w:p>
          <w:p w14:paraId="2554A6A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7) Wbudowane szyfrowanie dysków przy pomocy mechanizmów posiadających certyfikat FIPS 140-2 lub równoważny wydany przez NIST lub inną agendę rządową zajmującą się bezpieczeństwem informacji. </w:t>
            </w:r>
          </w:p>
          <w:p w14:paraId="3B895C0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8)  Możliwość dystrybucji ruchu sieciowego HTTP pomiędzy kilka serwerów. </w:t>
            </w:r>
          </w:p>
          <w:p w14:paraId="1F9C8E2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9)  Wbudowana zapora internetowa (firewall) z obsługą definiowanych reguł dla ochrony połączeń internetowych i intranetowych. </w:t>
            </w:r>
          </w:p>
          <w:p w14:paraId="5407241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10) Możliwość wymuszania wieloelementowej dynamicznej kontroli dostępu dla: określonych grup użytkowników, zastosowanej klasyfikacji danych, centralnych polityk dostępu w sieci, centralnych polityk audytowych oraz narzuconych dla grup użytkowników praw do wykorzystywania szyfrowanych danych.</w:t>
            </w:r>
          </w:p>
          <w:p w14:paraId="30FFAA9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11) Wsparcie dla większości powszechnie używanych urządzeń peryferyjnych (drukarek, urządzeń sieciowych, standardów USB, Plug&amp;Play). </w:t>
            </w:r>
          </w:p>
          <w:p w14:paraId="5B3F695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12)   Możliwość zdalnej konfiguracji, administrowania oraz aktualizowania systemu. </w:t>
            </w:r>
          </w:p>
          <w:p w14:paraId="2AB8572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13) Dostępność bezpłatnych narzędzi producenta systemu umożliwiających badanie i wdrażanie zdefiniowanego zestawu polityk bezpieczeństwa. </w:t>
            </w:r>
          </w:p>
          <w:p w14:paraId="7CF4C11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14) Pochodzący od producenta systemu serwis zarządzania polityką dostępu do informacji  w dokumentach (Digital Rights Management). </w:t>
            </w:r>
          </w:p>
          <w:p w14:paraId="549FAF1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15) Możliwość implementacji następujących funkcjonalności bez potrzeby instalowania dodatkowych produktów (oprogramowania) innych producentów wymagających dodatkowych licencji: </w:t>
            </w:r>
          </w:p>
          <w:p w14:paraId="0D0C362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a) Podstawowe usługi sieciowe: DHCP oraz DNS wspierający DNSSEC, </w:t>
            </w:r>
          </w:p>
          <w:p w14:paraId="2886769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b) Usługi katalogowe oparte o LDAP i pozwalające na uwierzytelnianie użytkowników stacji roboczych, bez konieczności instalowania dodatkowego oprogramowania na tych stacjach, pozwalające na zarządzanie zasobami w sieci (użytkownicy, komputery, drukarki, udziały sieciowe), z możliwością wykorzystania następujących funkcji: </w:t>
            </w:r>
          </w:p>
          <w:p w14:paraId="49808BC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Podłączenie do domeny w trybie offline – bez dostępnego połączenia sieciowego z domeną, </w:t>
            </w:r>
          </w:p>
          <w:p w14:paraId="637FDE2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Ustanawianie praw dostępu do zasobów domeny na bazie sposobu logowania użytkownika – na przykład typu certyfikatu użytego do logowania, </w:t>
            </w:r>
          </w:p>
          <w:p w14:paraId="3B79B41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III. Odzyskiwanie przypadkowo skasowanych obiektów usługi katalogowej z mechanizmu kosza.  </w:t>
            </w:r>
          </w:p>
          <w:p w14:paraId="46FDB15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c) Zdalna dystrybucja oprogramowania na stacje robocze. </w:t>
            </w:r>
          </w:p>
          <w:p w14:paraId="0D8A17A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d) Praca zdalna na serwerze z wykorzystaniem terminala (cienkiego klienta) lub odpowiednio skonfigurowanej stacji roboczej </w:t>
            </w:r>
          </w:p>
          <w:p w14:paraId="05BB07F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e) Centrum Certyfikatów (CA), obsługa klucza publicznego i prywatnego) umożliwiające: </w:t>
            </w:r>
          </w:p>
          <w:p w14:paraId="732E3AF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     Dystrybucję certyfikatów poprzez http </w:t>
            </w:r>
          </w:p>
          <w:p w14:paraId="4F990F9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    Konsolidację CA dla wielu lasów domeny, </w:t>
            </w:r>
          </w:p>
          <w:p w14:paraId="3DF6EEA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III.   Automatyczne rejestrowania certyfikatów pomiędzy różnymi lasami domen, </w:t>
            </w:r>
          </w:p>
          <w:p w14:paraId="452DCF9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IV. Automatyczne występowanie i używanie (wystawianie) certyfikatów PKI X.509. </w:t>
            </w:r>
          </w:p>
          <w:p w14:paraId="098093D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f)  Szyfrowanie plików i folderów.</w:t>
            </w:r>
          </w:p>
          <w:p w14:paraId="24B37DD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g) Szyfrowanie połączeń sieciowych pomiędzy serwerami oraz serwerami i stacjami roboczymi (IPSec). </w:t>
            </w:r>
          </w:p>
          <w:p w14:paraId="14F03EF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h)  Możliwość tworzenia systemów wysokiej dostępności (klastry typu fail-over) oraz rozłożenia obciążenia serwerów. </w:t>
            </w:r>
          </w:p>
          <w:p w14:paraId="5FAC154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i)   Serwis udostępniania stron WWW. </w:t>
            </w:r>
          </w:p>
          <w:p w14:paraId="67B8D0D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j)  Wsparcie dla protokołu IP w wersji 6 (IPv6),</w:t>
            </w:r>
          </w:p>
          <w:p w14:paraId="383144C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k) Wbudowane mechanizmy wirtualizacji (Hypervisor) pozwalające na uruchamianie środowisk wirtualnych systemów operacyjnych. Wirtualne maszyny w trakcie pracy i bez zauważalnego zmniejszenia ich dostępności mogą być przenoszone pomiędzy serwerami klastra typu failover z jednoczesnym zachowaniem pozostałej funkcjonalności. Mechanizmy wirtualizacji mają zapewnić wsparcie dla: </w:t>
            </w:r>
          </w:p>
          <w:p w14:paraId="5527D98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   Dynamicznego podłączania zasobów dyskowych typu hot-plug do maszyn wirtualnych, </w:t>
            </w:r>
          </w:p>
          <w:p w14:paraId="74D2324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Obsługi ramek typu jumbo frames dla maszyn wirtualnych. </w:t>
            </w:r>
          </w:p>
          <w:p w14:paraId="3EE03DF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III.   Obsługi 4-KB sektorów dysków  </w:t>
            </w:r>
          </w:p>
          <w:p w14:paraId="3BB5002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IV. Nielimitowanej liczby jednocześnie przenoszonych maszyn wirtualnych pomiędzy węzłami klastra </w:t>
            </w:r>
          </w:p>
          <w:p w14:paraId="29D4659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V. Możliwości wirtualizacji sieci z zastosowaniem przełącznika, którego funkcjonalność może być rozszerzana jednocześnie poprzez oprogramowanie kilku innych dostawców poprzez otwarty interfejs API. </w:t>
            </w:r>
          </w:p>
          <w:p w14:paraId="544AF26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VI.   Możliwości kierowania ruchu sieciowego z wielu sieci VLAN bezpośrednio do pojedynczej karty sieciowej maszyny wirtualnej (tzw. trunk mode) </w:t>
            </w:r>
          </w:p>
          <w:p w14:paraId="5A42465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16) 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14:paraId="3B923BA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17) Mechanizmy zdalnej administracji oraz mechanizmy (również działające zdalnie) administracji przez skrypty. </w:t>
            </w:r>
          </w:p>
        </w:tc>
      </w:tr>
      <w:tr w:rsidR="003B209D" w:rsidRPr="003B209D" w14:paraId="2542A289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EDAF9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Bezpieczeństwo 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763CC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Zatrzask górnej pokrywy oraz blokada na ramce panela zamykana na klucz służąca do ochrony nieautoryzowanego dostępu do dysków twardych.</w:t>
            </w:r>
          </w:p>
          <w:p w14:paraId="4105663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wyłączenia w BIOS funkcji przycisku zasilania.</w:t>
            </w:r>
          </w:p>
          <w:p w14:paraId="072E5AD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BIOS powinien mieć możliwość przejścia do bezpiecznego trybu rozruchowego z możliwością zarządzania blokadą zasilania, panelem sterowania oraz zmianą hasła </w:t>
            </w:r>
          </w:p>
          <w:p w14:paraId="185FB94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Wbudowany czujnik otwarcia obudowy współpracujący z BIOS i kartą zarządzającą. </w:t>
            </w:r>
          </w:p>
          <w:p w14:paraId="2B54BEF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Moduł TPM 2.0</w:t>
            </w:r>
          </w:p>
          <w:p w14:paraId="6D2E536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dynamicznego włączania I wyłączania portów USB na obudowie – bez potrzeby restartu serwera</w:t>
            </w:r>
          </w:p>
        </w:tc>
      </w:tr>
      <w:tr w:rsidR="003B209D" w:rsidRPr="003B209D" w14:paraId="3A7068CA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8622F0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Karta Zarządzania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B2B71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Niezależna od zainstalowanego na serwerze systemu operacyjnego posiadająca dedykowany port Gigabit Ethernet RJ-45 i umożliwiająca:</w:t>
            </w:r>
          </w:p>
          <w:p w14:paraId="182608B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zdalny dostęp do graficznego interfejsu Web karty zarządzającej;</w:t>
            </w:r>
          </w:p>
          <w:p w14:paraId="0629A396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zdalne monitorowanie i informowanie o statusie serwera (m.in. prędkości obrotowej wentylatorów, konfiguracji serwera);</w:t>
            </w:r>
          </w:p>
          <w:p w14:paraId="06756712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szyfrowane połączenie (TLS) oraz autentykacje i autoryzację użytkownika;</w:t>
            </w:r>
          </w:p>
          <w:p w14:paraId="60FFCC25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podmontowania zdalnych wirtualnych napędów;</w:t>
            </w:r>
          </w:p>
          <w:p w14:paraId="50478088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wirtualną konsolę z dostępem do myszy, klawiatury;</w:t>
            </w:r>
          </w:p>
          <w:p w14:paraId="621ABA1F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wsparcie dla IPv6;</w:t>
            </w:r>
          </w:p>
          <w:p w14:paraId="36631380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wsparcie dla dynamic DNS;</w:t>
            </w:r>
          </w:p>
          <w:p w14:paraId="11EFDFFB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wysyłanie do administratora maila z powiadomieniem o awarii lub zmianie konfiguracji sprzętowej.</w:t>
            </w:r>
          </w:p>
        </w:tc>
      </w:tr>
      <w:tr w:rsidR="003B209D" w:rsidRPr="003B209D" w14:paraId="7B4D381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570E79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Certyfikaty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771A6B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Serwer musi być wyprodukowany zgodnie z normą ISO-9001:2015, ISO-50001 oraz ISO-14001</w:t>
            </w:r>
          </w:p>
          <w:p w14:paraId="3E163F1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Serwer musi posiadać deklaracja CE.</w:t>
            </w:r>
          </w:p>
          <w:p w14:paraId="767ED8B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Oferowany serwer musi znajdować się na liście Windows Server Catalog i posiadać status „Certified for Windows” dla systemów Microsoft Windows Server 2025.</w:t>
            </w:r>
          </w:p>
        </w:tc>
      </w:tr>
      <w:tr w:rsidR="003B209D" w:rsidRPr="003B209D" w14:paraId="4F0C2E27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5C6D2F4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bookmarkStart w:id="0" w:name="_Hlk195567337"/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Dokumentacja użytkownika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3BCADA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wymaga dokumentacji w języku polskim lub angielskim.</w:t>
            </w:r>
          </w:p>
          <w:p w14:paraId="585EFC9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bookmarkEnd w:id="0"/>
      <w:tr w:rsidR="003B209D" w:rsidRPr="003B209D" w14:paraId="571C843D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2153621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Warunki gwarancji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6E6D09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5 lat gwarancji producenta, z czasem reakcji do następnego dnia roboczego od przyjęcia zgłoszenia, możliwość zgłaszania awarii poprzez ogólnopolską linię telefoniczną producenta.</w:t>
            </w:r>
          </w:p>
          <w:p w14:paraId="2FDE031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oczekuje bezpośredniego dostępu do wykwalifikowanej kadry inżynierów technicznych a w przypadku konieczności eskalacji zgłoszenia serwisowego wyznaczonego Kierownika Eskalacji po stronie wykonawcy (dla krytycznych zgłoszeń serwisowych)</w:t>
            </w:r>
          </w:p>
          <w:p w14:paraId="7329139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Zgłoszenie przyjęte jest potwierdzane przez zespół pomocy technicznej przez nadanie unikalnego numeru zgłoszenia pozwalającego na identyfikację zgłoszenia w trakcie realizacji naprawy i po jej zakończeniu.</w:t>
            </w:r>
          </w:p>
          <w:p w14:paraId="09E2902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oczekuje możliwości samodzielnego kwalifikowania poziomu ważności naprawy.</w:t>
            </w:r>
          </w:p>
          <w:p w14:paraId="53C2113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Zamawiający oczekuje rozpoczęcia diagnostyki telefonicznej / internetowej już w momencie dokonania zgłoszenia. Certyfikowany Technik wykonawcy/ producenta z właściwym zestawem części do naprawy (potwierdzonym na etapie diagnostyki) powinien rozpocząć naprawę  w siedzibie zamawiającego najpóźniej w następnym dniu roboczym (NBD) od zakończenia diagnostyki. Naprawa ma się odbyć w siedzibie zamawiającego, chyba, że zamawiający dla danej naprawy zgodzi się na inną formę. </w:t>
            </w:r>
          </w:p>
        </w:tc>
      </w:tr>
    </w:tbl>
    <w:p w14:paraId="7C09F6A4" w14:textId="77777777" w:rsidR="003B209D" w:rsidRPr="003B209D" w:rsidRDefault="003B209D" w:rsidP="003B209D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p w14:paraId="2547F3A8" w14:textId="77777777" w:rsidR="003B209D" w:rsidRPr="003B209D" w:rsidRDefault="003B209D" w:rsidP="003B209D">
      <w:pPr>
        <w:numPr>
          <w:ilvl w:val="0"/>
          <w:numId w:val="2"/>
        </w:num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br w:type="page"/>
      </w:r>
      <w:r w:rsidRPr="003B209D">
        <w:rPr>
          <w:rFonts w:ascii="Arial" w:eastAsia="Calibri" w:hAnsi="Arial" w:cs="Arial"/>
          <w:kern w:val="0"/>
          <w:sz w:val="20"/>
          <w:szCs w:val="20"/>
          <w14:ligatures w14:val="none"/>
        </w:rPr>
        <w:lastRenderedPageBreak/>
        <w:t xml:space="preserve">Dostawa i montaż serwera usług zarządzania użytkownikami i systemami dla Miejskiego Ośrodka Pomocy Społecznej wraz z instalacją - </w:t>
      </w:r>
      <w:r w:rsidRPr="003B209D"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  <w:t>liczba sztuk: 1</w:t>
      </w:r>
    </w:p>
    <w:p w14:paraId="545B3418" w14:textId="77777777" w:rsidR="003B209D" w:rsidRPr="003B209D" w:rsidRDefault="003B209D" w:rsidP="003B209D">
      <w:pPr>
        <w:spacing w:after="0" w:line="276" w:lineRule="auto"/>
        <w:jc w:val="both"/>
        <w:rPr>
          <w:rFonts w:ascii="Arial" w:eastAsia="Calibri" w:hAnsi="Arial" w:cs="Arial"/>
          <w:b/>
          <w:bCs/>
          <w:kern w:val="0"/>
          <w:sz w:val="20"/>
          <w:szCs w:val="20"/>
          <w14:ligatures w14:val="none"/>
        </w:rPr>
      </w:pPr>
    </w:p>
    <w:tbl>
      <w:tblPr>
        <w:tblW w:w="9510" w:type="dxa"/>
        <w:tblInd w:w="-159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65" w:type="dxa"/>
          <w:right w:w="70" w:type="dxa"/>
        </w:tblCellMar>
        <w:tblLook w:val="0000" w:firstRow="0" w:lastRow="0" w:firstColumn="0" w:lastColumn="0" w:noHBand="0" w:noVBand="0"/>
      </w:tblPr>
      <w:tblGrid>
        <w:gridCol w:w="2213"/>
        <w:gridCol w:w="7297"/>
      </w:tblGrid>
      <w:tr w:rsidR="003B209D" w:rsidRPr="003B209D" w14:paraId="050D3335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9EA622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Parametr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FC5099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Charakterystyka (wymagania minimalne)</w:t>
            </w:r>
          </w:p>
        </w:tc>
      </w:tr>
      <w:tr w:rsidR="003B209D" w:rsidRPr="003B209D" w14:paraId="5CFB9DE3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67233D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Obudowa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63AE8A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Obudowa Rack z możliwością instalacji min. 8 dysków 2.5” U.2 lub U.3 wraz z kompletem wysuwanych szyn umożliwiających montaż w szafie rack i wysuwanie serwera do celów serwisowych oraz organizatorem do kabli.</w:t>
            </w:r>
          </w:p>
        </w:tc>
      </w:tr>
      <w:tr w:rsidR="003B209D" w:rsidRPr="003B209D" w14:paraId="19694E3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BE5042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Płyta główna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DD1B3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Płyta główna z możliwością zainstalowania do dwóch procesorów z obsługą procesorów 32 rdzeniowych. </w:t>
            </w:r>
          </w:p>
          <w:p w14:paraId="4C69FF0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Na płycie głównej powinno znajdować się minimum 16 slotów przeznaczonych do instalacji pamięci. Płyta główna powinna obsługiwać do 1TB pamięci RAM.</w:t>
            </w:r>
          </w:p>
        </w:tc>
      </w:tr>
      <w:tr w:rsidR="003B209D" w:rsidRPr="003B209D" w14:paraId="6ED7FA67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7E96C7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Procesor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F1FF3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Zainstalowany jeden procesor osiągający w teście CPU Benchmark publikowanym na stronie: https://www.cpubenchmark.net/ wynik CPU Mark co najmniej 27.000 punktów na dzień publikacji ogłoszenia</w:t>
            </w:r>
          </w:p>
        </w:tc>
      </w:tr>
      <w:tr w:rsidR="003B209D" w:rsidRPr="003B209D" w14:paraId="0FF428D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EAE281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RAM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A440EA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Minimum 128GB pamięci DDR5 w parzystej ilości modułów</w:t>
            </w:r>
          </w:p>
        </w:tc>
      </w:tr>
      <w:tr w:rsidR="003B209D" w:rsidRPr="003B209D" w14:paraId="6648590C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CE9A3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Interfejsy sieciowe/FC/SAS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4FF03F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Wbudowane min. 1 interfejsy sieciowe 1Gb Ethernet w standardzie BaseT oraz 2 interfejsy sieciowe w standardzie SFP28</w:t>
            </w:r>
          </w:p>
        </w:tc>
      </w:tr>
      <w:tr w:rsidR="003B209D" w:rsidRPr="003B209D" w14:paraId="5841ED2E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008D094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Dyski twarde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DAA0CE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Zainstalowane: </w:t>
            </w:r>
          </w:p>
          <w:p w14:paraId="3FBD325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3x kompatybilne dyski NVMe U.2 lub U.3 o pojemności min. 1.92TB skonfigurowane w RAID klasy 5</w:t>
            </w:r>
          </w:p>
        </w:tc>
      </w:tr>
      <w:tr w:rsidR="003B209D" w:rsidRPr="003B209D" w14:paraId="412C1A76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434DDE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Kontroler RAID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B3262E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Sprzętowy kontroler dyskowy, posiadający. min. 8GB nieulotnej pamięci cache,</w:t>
            </w:r>
          </w:p>
          <w:p w14:paraId="47090C5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konfiguracji poziomów RAID: 0, 1, 5, 6, 10, 50, 60.</w:t>
            </w:r>
          </w:p>
        </w:tc>
      </w:tr>
      <w:tr w:rsidR="003B209D" w:rsidRPr="003B209D" w14:paraId="40E50C58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3FFF01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Wbudowane porty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CA995C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4x USB, w tym min. 1 porty USB 3.0 </w:t>
            </w:r>
          </w:p>
          <w:p w14:paraId="30E4498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2x port VGA (jeden na panelu przednim)</w:t>
            </w:r>
          </w:p>
        </w:tc>
      </w:tr>
      <w:tr w:rsidR="003B209D" w:rsidRPr="003B209D" w14:paraId="120BFDFE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2E17591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Wentylatory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0C0DDD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Redundantne, Hot-Plug</w:t>
            </w:r>
          </w:p>
        </w:tc>
      </w:tr>
      <w:tr w:rsidR="003B209D" w:rsidRPr="003B209D" w14:paraId="6592CB9F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11BAE2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Zasilacze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DF5B0F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Redundantne, Hot-Plug min. 700W klasy Titanium</w:t>
            </w:r>
          </w:p>
        </w:tc>
      </w:tr>
      <w:tr w:rsidR="003B209D" w:rsidRPr="003B209D" w14:paraId="262B3305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B9A6F1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System operacyjny/dodatkowe oprogramowanie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7EA3FD5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Licencja na serwerowy system operacyjny, w wersji najnowszej oferowanej przez producenta musi uprawniać do zainstalowania serwerowego systemu operacyjnego w środowisku fizycznym lub umożliwiać zainstalowanie dwóch instancji wirtualnych tego serwerowego systemu operacyjnego.</w:t>
            </w:r>
          </w:p>
          <w:p w14:paraId="743B2A2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Licencja musi zostać tak dobrana aby była zgodna z zasadami licencjonowania producenta oraz pozwalała na legalne używanie na zaoferowanym serwerze. Dostarczona licencja powinna umożliwiać korzystanie z usług serwera przez 30 użytkowników. </w:t>
            </w:r>
          </w:p>
          <w:p w14:paraId="1CCE017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Serwerowy system operacyjny musi posiadać następujące, wbudowane cechy. </w:t>
            </w:r>
          </w:p>
          <w:p w14:paraId="261A716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1) Możliwość migracji maszyn wirtualnych bez zatrzymywania ich pracy między fizycznymi serwerami z uruchomionym mechanizmem wirtualizacji (hypervisor) przez sieć Ethernet, bez konieczności stosowania dodatkowych mechanizmów współdzielenia pamięci. </w:t>
            </w:r>
          </w:p>
          <w:p w14:paraId="5F7DEB2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2) Wsparcie (na umożliwiającym to sprzęcie) dodawania  i wymiany pamięci RAM bez przerywania pracy. </w:t>
            </w:r>
          </w:p>
          <w:p w14:paraId="7CB292A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3) Automatyczna weryfikacja cyfrowych sygnatur sterowników w celu sprawdzenia, czy sterownik przeszedł testy jakości przeprowadzone przez producenta systemu operacyjnego. </w:t>
            </w:r>
          </w:p>
          <w:p w14:paraId="69B1E57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4) Możliwość dynamicznego obniżania poboru energii przez rdzenie procesorów niewykorzystywane w bieżącej pracy. Mechanizm ten musi uwzględniać specyfikę procesorów wyposażonych w mechanizmy Hyper-Threading. </w:t>
            </w:r>
          </w:p>
          <w:p w14:paraId="68BBFDC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5) Wbudowane wsparcie instalacji i pracy na wolumenach, które: </w:t>
            </w:r>
          </w:p>
          <w:p w14:paraId="0F03EAC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a) pozwalają na zmianę rozmiaru w czasie pracy systemu, </w:t>
            </w:r>
          </w:p>
          <w:p w14:paraId="2452973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b) umożliwiają tworzenie w czasie pracy systemu migawek, dających użytkownikom końcowym (lokalnym  i sieciowym) prosty wgląd w poprzednie wersje plików i folderów, </w:t>
            </w:r>
          </w:p>
          <w:p w14:paraId="0F7F879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c) umożliwiają kompresję "w locie" dla wybranych plików i/lub folderów, </w:t>
            </w:r>
          </w:p>
          <w:p w14:paraId="2A81CD0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d) umożliwiają zdefiniowanie list kontroli dostępu (ACL). </w:t>
            </w:r>
          </w:p>
          <w:p w14:paraId="50A3543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6) Wbudowany mechanizm klasyfikowania i indeksowania plików (dokumentów) w oparciu o ich zawartość. </w:t>
            </w:r>
          </w:p>
          <w:p w14:paraId="24E2B78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7) Wbudowane szyfrowanie dysków przy pomocy mechanizmów posiadających certyfikat FIPS 140-2 lub równoważny wydany przez NIST lub inną agendę rządową zajmującą się bezpieczeństwem informacji. </w:t>
            </w:r>
          </w:p>
          <w:p w14:paraId="28A8291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8)  Możliwość dystrybucji ruchu sieciowego HTTP pomiędzy kilka serwerów. </w:t>
            </w:r>
          </w:p>
          <w:p w14:paraId="563DFA4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9)  Wbudowana zapora internetowa (firewall) z obsługą definiowanych reguł dla ochrony połączeń internetowych i intranetowych. </w:t>
            </w:r>
          </w:p>
          <w:p w14:paraId="22B841B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10) Możliwość wymuszania wieloelementowej dynamicznej kontroli dostępu dla: określonych grup użytkowników, zastosowanej klasyfikacji danych, centralnych polityk dostępu w sieci, centralnych polityk audytowych oraz narzuconych dla grup użytkowników praw do wykorzystywania szyfrowanych danych.</w:t>
            </w:r>
          </w:p>
          <w:p w14:paraId="11BE49A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11) Wsparcie dla większości powszechnie używanych urządzeń peryferyjnych (drukarek, urządzeń sieciowych, standardów USB, Plug&amp;Play). </w:t>
            </w:r>
          </w:p>
          <w:p w14:paraId="4C1D21C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12)   Możliwość zdalnej konfiguracji, administrowania oraz aktualizowania systemu. </w:t>
            </w:r>
          </w:p>
          <w:p w14:paraId="14A698E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13) Dostępność bezpłatnych narzędzi producenta systemu umożliwiających badanie i wdrażanie zdefiniowanego zestawu polityk bezpieczeństwa. </w:t>
            </w:r>
          </w:p>
          <w:p w14:paraId="5644B12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14) Pochodzący od producenta systemu serwis zarządzania polityką dostępu do informacji  w dokumentach (Digital Rights Management). </w:t>
            </w:r>
          </w:p>
          <w:p w14:paraId="244E14B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15) Możliwość implementacji następujących funkcjonalności bez potrzeby instalowania dodatkowych produktów (oprogramowania) innych producentów wymagających dodatkowych licencji: </w:t>
            </w:r>
          </w:p>
          <w:p w14:paraId="627CA21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a) Podstawowe usługi sieciowe: DHCP oraz DNS wspierający DNSSEC, </w:t>
            </w:r>
          </w:p>
          <w:p w14:paraId="62642E3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b) Usługi katalogowe oparte o LDAP i pozwalające na uwierzytelnianie użytkowników stacji roboczych, bez konieczności instalowania dodatkowego oprogramowania na tych stacjach, pozwalające na zarządzanie zasobami w sieci </w:t>
            </w: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(użytkownicy, komputery, drukarki, udziały sieciowe), z możliwością wykorzystania następujących funkcji: </w:t>
            </w:r>
          </w:p>
          <w:p w14:paraId="384ED61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Podłączenie do domeny w trybie offline – bez dostępnego połączenia sieciowego z domeną, </w:t>
            </w:r>
          </w:p>
          <w:p w14:paraId="43781AD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Ustanawianie praw dostępu do zasobów domeny na bazie sposobu logowania użytkownika – na przykład typu certyfikatu użytego do logowania, </w:t>
            </w:r>
          </w:p>
          <w:p w14:paraId="71AA151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III. Odzyskiwanie przypadkowo skasowanych obiektów usługi katalogowej z mechanizmu kosza.  </w:t>
            </w:r>
          </w:p>
          <w:p w14:paraId="24F94BD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c) Zdalna dystrybucja oprogramowania na stacje robocze. </w:t>
            </w:r>
          </w:p>
          <w:p w14:paraId="0AE00BAB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d) Praca zdalna na serwerze z wykorzystaniem terminala (cienkiego klienta) lub odpowiednio skonfigurowanej stacji roboczej </w:t>
            </w:r>
          </w:p>
          <w:p w14:paraId="502C634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e) Centrum Certyfikatów (CA), obsługa klucza publicznego i prywatnego) umożliwiające: </w:t>
            </w:r>
          </w:p>
          <w:p w14:paraId="51EA8C6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     Dystrybucję certyfikatów poprzez http </w:t>
            </w:r>
          </w:p>
          <w:p w14:paraId="2E19999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    Konsolidację CA dla wielu lasów domeny, </w:t>
            </w:r>
          </w:p>
          <w:p w14:paraId="27273DC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III.   Automatyczne rejestrowania certyfikatów pomiędzy różnymi lasami domen, </w:t>
            </w:r>
          </w:p>
          <w:p w14:paraId="277AE7E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IV. Automatyczne występowanie i używanie (wystawianie) certyfikatów PKI X.509. </w:t>
            </w:r>
          </w:p>
          <w:p w14:paraId="311F10C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f)  Szyfrowanie plików i folderów.</w:t>
            </w:r>
          </w:p>
          <w:p w14:paraId="0FD3CBA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g) Szyfrowanie połączeń sieciowych pomiędzy serwerami oraz serwerami i stacjami roboczymi (IPSec). </w:t>
            </w:r>
          </w:p>
          <w:p w14:paraId="4B37CCC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h)  Możliwość tworzenia systemów wysokiej dostępności (klastry typu fail-over) oraz rozłożenia obciążenia serwerów. </w:t>
            </w:r>
          </w:p>
          <w:p w14:paraId="36B8FB9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i)   Serwis udostępniania stron WWW. </w:t>
            </w:r>
          </w:p>
          <w:p w14:paraId="71979F66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j)  Wsparcie dla protokołu IP w wersji 6 (IPv6),</w:t>
            </w:r>
          </w:p>
          <w:p w14:paraId="60CAEEF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k) Wbudowane mechanizmy wirtualizacji (Hypervisor) pozwalające na uruchamianie środowisk wirtualnych systemów operacyjnych. Wirtualne maszyny w trakcie pracy i bez zauważalnego zmniejszenia ich dostępności mogą być przenoszone pomiędzy serwerami klastra typu failover z jednoczesnym zachowaniem pozostałej funkcjonalności. Mechanizmy wirtualizacji mają zapewnić wsparcie dla: </w:t>
            </w:r>
          </w:p>
          <w:p w14:paraId="643E243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I.     Dynamicznego podłączania zasobów dyskowych typu hot-plug do maszyn wirtualnych, </w:t>
            </w:r>
          </w:p>
          <w:p w14:paraId="3F002B72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II. Obsługi ramek typu jumbo frames dla maszyn wirtualnych. </w:t>
            </w:r>
          </w:p>
          <w:p w14:paraId="048F899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III.   Obsługi 4-KB sektorów dysków  </w:t>
            </w:r>
          </w:p>
          <w:p w14:paraId="119EED4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IV. Nielimitowanej liczby jednocześnie przenoszonych maszyn wirtualnych pomiędzy węzłami klastra </w:t>
            </w:r>
          </w:p>
          <w:p w14:paraId="190295B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V. Możliwości wirtualizacji sieci z zastosowaniem przełącznika, którego funkcjonalność może być rozszerzana jednocześnie poprzez oprogramowanie kilku innych dostawców poprzez otwarty interfejs API. </w:t>
            </w:r>
          </w:p>
          <w:p w14:paraId="13355E4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VI.   Możliwości kierowania ruchu sieciowego z wielu sieci VLAN bezpośrednio do pojedynczej karty sieciowej maszyny wirtualnej (tzw. trunk mode) </w:t>
            </w:r>
          </w:p>
          <w:p w14:paraId="016F6FE4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16) Możliwość automatycznej aktualizacji w oparciu o poprawki publikowane przez producenta wraz z dostępnością bezpłatnego rozwiązania producenta serwerowego systemu operacyjnego umożliwiającego lokalną dystrybucję poprawek zatwierdzonych przez administratora, bez połączenia z siecią Internet. </w:t>
            </w:r>
          </w:p>
          <w:p w14:paraId="2B242EF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17) Mechanizmy zdalnej administracji oraz mechanizmy (również działające zdalnie) administracji przez skrypty. </w:t>
            </w:r>
          </w:p>
        </w:tc>
      </w:tr>
      <w:tr w:rsidR="003B209D" w:rsidRPr="003B209D" w14:paraId="4166462D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6251120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 xml:space="preserve">Bezpieczeństwo 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5B2CA7FC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Zatrzask górnej pokrywy oraz blokada na ramce panela zamykana na klucz służąca do ochrony nieautoryzowanego dostępu do dysków twardych.</w:t>
            </w:r>
          </w:p>
          <w:p w14:paraId="5B355B3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wyłączenia w BIOS funkcji przycisku zasilania.</w:t>
            </w:r>
          </w:p>
          <w:p w14:paraId="28F84F2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BIOS powinien mieć możliwość przejścia do bezpiecznego trybu rozruchowego z możliwością zarządzania blokadą zasilania, panelem sterowania oraz zmianą hasła </w:t>
            </w:r>
          </w:p>
          <w:p w14:paraId="59024C2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Wbudowany czujnik otwarcia obudowy współpracujący z BIOS i kartą zarządzającą. </w:t>
            </w:r>
          </w:p>
          <w:p w14:paraId="4830A06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Moduł TPM 2.0</w:t>
            </w:r>
          </w:p>
          <w:p w14:paraId="0C876625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dynamicznego włączania I wyłączania portów USB na obudowie – bez potrzeby restartu serwera</w:t>
            </w:r>
          </w:p>
        </w:tc>
      </w:tr>
      <w:tr w:rsidR="003B209D" w:rsidRPr="003B209D" w14:paraId="4B35DB91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0B9EF0B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Karta Zarządzania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B84363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Niezależna od zainstalowanego na serwerze systemu operacyjnego posiadająca dedykowany port Gigabit Ethernet RJ-45 i umożliwiająca:</w:t>
            </w:r>
          </w:p>
          <w:p w14:paraId="4A2121F1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zdalny dostęp do graficznego interfejsu Web karty zarządzającej;</w:t>
            </w:r>
          </w:p>
          <w:p w14:paraId="741FF07E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zdalne monitorowanie i informowanie o statusie serwera (m.in. prędkości obrotowej wentylatorów, konfiguracji serwera);</w:t>
            </w:r>
          </w:p>
          <w:p w14:paraId="0859F8BB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szyfrowane połączenie (TLS) oraz autentykacje i autoryzację użytkownika;</w:t>
            </w:r>
          </w:p>
          <w:p w14:paraId="7EA7C139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możliwość podmontowania zdalnych wirtualnych napędów;</w:t>
            </w:r>
          </w:p>
          <w:p w14:paraId="04AC96C1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wirtualną konsolę z dostępem do myszy, klawiatury;</w:t>
            </w:r>
          </w:p>
          <w:p w14:paraId="6C202514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wsparcie dla IPv6;</w:t>
            </w:r>
          </w:p>
          <w:p w14:paraId="283B6E99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wsparcie dla dynamic DNS;</w:t>
            </w:r>
          </w:p>
          <w:p w14:paraId="0B0EA0A7" w14:textId="77777777" w:rsidR="003B209D" w:rsidRPr="003B209D" w:rsidRDefault="003B209D" w:rsidP="003B209D">
            <w:pPr>
              <w:numPr>
                <w:ilvl w:val="0"/>
                <w:numId w:val="1"/>
              </w:num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wysyłanie do administratora maila z powiadomieniem o awarii lub zmianie konfiguracji sprzętowej.</w:t>
            </w:r>
          </w:p>
        </w:tc>
      </w:tr>
      <w:tr w:rsidR="003B209D" w:rsidRPr="003B209D" w14:paraId="14270C7C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6C352CA7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Certyfikaty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4EFF00D9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Serwer musi być wyprodukowany zgodnie z normą ISO-9001:2015, ISO-50001 oraz ISO-14001</w:t>
            </w:r>
          </w:p>
          <w:p w14:paraId="27D05A2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Serwer musi posiadać deklaracja CE.</w:t>
            </w:r>
          </w:p>
          <w:p w14:paraId="7F2045E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Oferowany serwer musi znajdować się na liście Windows Server Catalog i posiadać status „Certified for Windows” dla systemów Microsoft Windows Server 2025.</w:t>
            </w:r>
          </w:p>
        </w:tc>
      </w:tr>
      <w:tr w:rsidR="003B209D" w:rsidRPr="003B209D" w14:paraId="45E34DFA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916A8DF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Dokumentacja użytkownika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355932D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wymaga dokumentacji w języku polskim lub angielskim.</w:t>
            </w:r>
          </w:p>
          <w:p w14:paraId="3A00A5BE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Możliwość telefonicznego sprawdzenia konfiguracji sprzętowej serwera oraz warunków gwarancji po podaniu numeru seryjnego bezpośrednio u producenta lub jego przedstawiciela.</w:t>
            </w:r>
          </w:p>
        </w:tc>
      </w:tr>
      <w:tr w:rsidR="003B209D" w:rsidRPr="003B209D" w14:paraId="204A2228" w14:textId="77777777" w:rsidTr="008964CF">
        <w:tc>
          <w:tcPr>
            <w:tcW w:w="2213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3C33558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lastRenderedPageBreak/>
              <w:t>Warunki gwarancji</w:t>
            </w:r>
          </w:p>
        </w:tc>
        <w:tc>
          <w:tcPr>
            <w:tcW w:w="729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vAlign w:val="center"/>
          </w:tcPr>
          <w:p w14:paraId="1863D5A3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Min. 3 lat gwarancji producenta, z czasem reakcji do następnego dnia roboczego od przyjęcia zgłoszenia, możliwość zgłaszania awarii poprzez ogólnopolską linię telefoniczną producenta.</w:t>
            </w:r>
          </w:p>
          <w:p w14:paraId="4907824A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oczekuje bezpośredniego dostępu do wykwalifikowanej kadry inżynierów technicznych a w przypadku konieczności eskalacji zgłoszenia serwisowego wyznaczonego Kierownika Eskalacji po stronie wykonawcy (dla krytycznych zgłoszeń serwisowych)</w:t>
            </w:r>
          </w:p>
          <w:p w14:paraId="401E33F0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Zgłoszenie przyjęte jest potwierdzane przez zespół pomocy technicznej przez nadanie unikalnego numeru zgłoszenia pozwalającego na identyfikację zgłoszenia w trakcie realizacji naprawy i po jej zakończeniu.</w:t>
            </w:r>
          </w:p>
          <w:p w14:paraId="61BB5CF8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>Zamawiający oczekuje możliwości samodzielnego kwalifikowania poziomu ważności naprawy.</w:t>
            </w:r>
          </w:p>
          <w:p w14:paraId="6BEA8DAD" w14:textId="77777777" w:rsidR="003B209D" w:rsidRPr="003B209D" w:rsidRDefault="003B209D" w:rsidP="003B209D">
            <w:pPr>
              <w:spacing w:after="0" w:line="276" w:lineRule="auto"/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</w:pPr>
            <w:r w:rsidRPr="003B209D">
              <w:rPr>
                <w:rFonts w:ascii="Calibri" w:eastAsia="Calibri" w:hAnsi="Calibri" w:cs="Times New Roman"/>
                <w:kern w:val="0"/>
                <w:sz w:val="22"/>
                <w:szCs w:val="22"/>
                <w14:ligatures w14:val="none"/>
              </w:rPr>
              <w:t xml:space="preserve">Zamawiający oczekuje rozpoczęcia diagnostyki telefonicznej / internetowej już w momencie dokonania zgłoszenia. Certyfikowany Technik wykonawcy/ producenta z właściwym zestawem części do naprawy (potwierdzonym na etapie diagnostyki) powinien rozpocząć naprawę  w siedzibie zamawiającego najpóźniej w następnym dniu roboczym (NBD) od zakończenia diagnostyki. Naprawa ma się odbyć w siedzibie zamawiającego, chyba, że zamawiający dla danej naprawy zgodzi się na inną formę. </w:t>
            </w:r>
          </w:p>
        </w:tc>
      </w:tr>
    </w:tbl>
    <w:p w14:paraId="54C1B920" w14:textId="77777777" w:rsidR="003B209D" w:rsidRDefault="003B209D" w:rsidP="003B209D"/>
    <w:p w14:paraId="0C467B6A" w14:textId="5A5B0D95" w:rsidR="003B209D" w:rsidRPr="003B209D" w:rsidRDefault="003B209D" w:rsidP="003B209D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3</w:t>
      </w:r>
      <w:r w:rsidRPr="003B209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. Wdrożenie usługi katalogowej do centralnego zarządzania użytkownikami i uprawnieniami do systemów teleinformatycznych, synchronizacja stanowisk, konfiguracja polityk bezpieczeństwa dla Urzędu Miejskiego</w:t>
      </w:r>
    </w:p>
    <w:p w14:paraId="06F938ED" w14:textId="77777777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Zamawiający wymaga: </w:t>
      </w:r>
    </w:p>
    <w:p w14:paraId="22097E0B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Konfiguracji i wdrożenia usługi katalogowej Active Directory w oparciu o Microsoft Windows Server 2025</w:t>
      </w:r>
    </w:p>
    <w:p w14:paraId="61352A56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Konfiguracji 60 stanowisk roboczych wg specyfikacji dostarczonej przez zamawiającego zawierającej:</w:t>
      </w:r>
    </w:p>
    <w:p w14:paraId="4FA603E0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nazwę komputera,</w:t>
      </w:r>
    </w:p>
    <w:p w14:paraId="2EEF9206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dane konta administratora lokalnego,</w:t>
      </w:r>
    </w:p>
    <w:p w14:paraId="37C1CE5E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nazwy i wersje aplikacji, które mają zostać zainstalowane (np. Adobe Reader, klient poczty, itp.).</w:t>
      </w:r>
    </w:p>
    <w:p w14:paraId="2116ABFD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konfiguracja stacji roboczej i podłączenie jej do kontrolera AD,</w:t>
      </w:r>
    </w:p>
    <w:p w14:paraId="7DD0D974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adresu IP odpowiedniego dla wydzielonej sieci VLAN.</w:t>
      </w:r>
    </w:p>
    <w:p w14:paraId="50334175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Utworzenie kont użytkowników i nadanie grup i uprawnień</w:t>
      </w:r>
    </w:p>
    <w:p w14:paraId="59630B55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Utworzenie kompleksowe reguł polityk zabezpieczeń oraz pełne wdrożenie dla każdej z grup użytkowników reguł polityk Group Policy wraz z szablonami administracyjnymi (ok. 200 rekordów dla każdej grupy)  </w:t>
      </w:r>
    </w:p>
    <w:p w14:paraId="47B68FF3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migracja danych istniejących użytkowników z każdego stanowiska</w:t>
      </w:r>
    </w:p>
    <w:p w14:paraId="41BD2F79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lastRenderedPageBreak/>
        <w:t>konfiguracja urządzeń peryferyjnych: drukarki, skanery, itp.</w:t>
      </w:r>
    </w:p>
    <w:p w14:paraId="11D318C4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nowego adresu IP odpowiedniego dla wydzielonej sieci VLAN,</w:t>
      </w:r>
    </w:p>
    <w:p w14:paraId="6A69C894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lub zmianę istniejących haseł dostępowych,</w:t>
      </w:r>
    </w:p>
    <w:p w14:paraId="7740CA80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zmianę ich konfiguracji celem wyeliminowania protokołów i ustawień mających wpływ na bezpieczeństwo danych.</w:t>
      </w:r>
    </w:p>
    <w:p w14:paraId="0BA5908E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Zamawiający nie dopuszcza możliwości realizowania zadanie zdalnie.</w:t>
      </w:r>
    </w:p>
    <w:p w14:paraId="69A75B65" w14:textId="77777777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546A1A4A" w14:textId="0DEE3C0F" w:rsidR="003B209D" w:rsidRPr="003B209D" w:rsidRDefault="003B209D" w:rsidP="003B209D">
      <w:pPr>
        <w:spacing w:after="0" w:line="276" w:lineRule="auto"/>
        <w:jc w:val="both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4</w:t>
      </w:r>
      <w:r w:rsidRPr="003B209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. Wdrożenie usługi katalogowej do centralnego zarządzania użytkownikami i uprawnieniami do systemów teleinformatycznych, synchronizacja stanowisk, konfiguracja polityk bezpieczeństwa dla Miejskiego Ośrodka Pomocy Społecznej</w:t>
      </w:r>
    </w:p>
    <w:p w14:paraId="057F789B" w14:textId="77777777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Zamawiający wymaga: </w:t>
      </w:r>
    </w:p>
    <w:p w14:paraId="06427F1F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Konfiguracji i wdrożenia usługi katalogowej Active Directory w oparciu o Microsoft Windows Server 2025</w:t>
      </w:r>
    </w:p>
    <w:p w14:paraId="40136D34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Konfiguracji 30 stanowisk roboczych wg specyfikacji dostarczonej przez zamawiającego zawierającej:</w:t>
      </w:r>
    </w:p>
    <w:p w14:paraId="44512C6C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nazwę komputera,</w:t>
      </w:r>
    </w:p>
    <w:p w14:paraId="7921FE7A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dane konta administratora lokalnego,</w:t>
      </w:r>
    </w:p>
    <w:p w14:paraId="282C86F5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nazwy i wersje aplikacji, które mają zostać zainstalowane (np. Adobe Reader, klient poczty, itp.).</w:t>
      </w:r>
    </w:p>
    <w:p w14:paraId="4F422990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konfiguracja stacji roboczej i podłączenie jej do kontrolera AD,</w:t>
      </w:r>
    </w:p>
    <w:p w14:paraId="38415ADF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adresu IP odpowiedniego dla wydzielonej sieci VLAN.</w:t>
      </w:r>
    </w:p>
    <w:p w14:paraId="3E47E385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Utworzenie kont użytkowników i nadanie grup i uprawnień</w:t>
      </w:r>
    </w:p>
    <w:p w14:paraId="66F03C3B" w14:textId="77777777" w:rsidR="003B209D" w:rsidRPr="003B209D" w:rsidRDefault="003B209D" w:rsidP="003B209D">
      <w:pPr>
        <w:numPr>
          <w:ilvl w:val="0"/>
          <w:numId w:val="4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Utworzenie kompleksowe reguł polityk zabezpieczeń oraz pełne wdrożenie dla każdej z grup użytkowników reguł polityk Group Policy wraz z szablonami administracyjnymi (ok. 200 rekordów dla każdej grupy)  </w:t>
      </w:r>
    </w:p>
    <w:p w14:paraId="29439840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migracja danych istniejących użytkowników z każdego stanowiska</w:t>
      </w:r>
    </w:p>
    <w:p w14:paraId="2134898C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konfiguracja urządzeń peryferyjnych: drukarki, skanery, itp.</w:t>
      </w:r>
    </w:p>
    <w:p w14:paraId="778D7F78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nowego adresu IP odpowiedniego dla wydzielonej sieci VLAN,</w:t>
      </w:r>
    </w:p>
    <w:p w14:paraId="0A6026F8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nadanie lub zmianę istniejących haseł dostępowych,</w:t>
      </w:r>
    </w:p>
    <w:p w14:paraId="25C39BB0" w14:textId="77777777" w:rsidR="003B209D" w:rsidRPr="003B209D" w:rsidRDefault="003B209D" w:rsidP="003B209D">
      <w:pPr>
        <w:numPr>
          <w:ilvl w:val="1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zmianę ich konfiguracji celem wyeliminowania protokołów i ustawień mających wpływ na bezpieczeństwo danych.</w:t>
      </w:r>
    </w:p>
    <w:p w14:paraId="5C386D20" w14:textId="77777777" w:rsidR="003B209D" w:rsidRPr="003B209D" w:rsidRDefault="003B209D" w:rsidP="003B209D">
      <w:pPr>
        <w:numPr>
          <w:ilvl w:val="0"/>
          <w:numId w:val="3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Zamawiający nie dopuszcza możliwości realizowania zadanie zdalnie.</w:t>
      </w:r>
    </w:p>
    <w:p w14:paraId="7BBF5BAF" w14:textId="77777777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772D3A76" w14:textId="4158B3F0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</w:pPr>
      <w:r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5</w:t>
      </w:r>
      <w:r w:rsidRPr="003B209D">
        <w:rPr>
          <w:rFonts w:ascii="Calibri" w:eastAsia="Calibri" w:hAnsi="Calibri" w:cs="Times New Roman"/>
          <w:b/>
          <w:bCs/>
          <w:kern w:val="0"/>
          <w:sz w:val="22"/>
          <w:szCs w:val="22"/>
          <w14:ligatures w14:val="none"/>
        </w:rPr>
        <w:t>. Wdrożenie usługi replikacji i synchronizacji danych serwera głównego z serwerem zapasowym zapewniającej nadmiarową kopię bezpieczeństwa</w:t>
      </w:r>
    </w:p>
    <w:p w14:paraId="1D28C4AB" w14:textId="77777777" w:rsidR="003B209D" w:rsidRPr="003B209D" w:rsidRDefault="003B209D" w:rsidP="003B209D">
      <w:p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Zamawiający wymaga wykonania usługi polegającej na: </w:t>
      </w:r>
    </w:p>
    <w:p w14:paraId="400D9B14" w14:textId="77777777" w:rsidR="003B209D" w:rsidRPr="003B209D" w:rsidRDefault="003B209D" w:rsidP="003B209D">
      <w:pPr>
        <w:numPr>
          <w:ilvl w:val="0"/>
          <w:numId w:val="5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Uruchomienia środowiska wirtualizacji z opcją redundancji serwerowej i przeniesienia do tego środowiska istniejących serwerów fizycznych dla sieci Urzędu</w:t>
      </w:r>
    </w:p>
    <w:p w14:paraId="650328A1" w14:textId="77777777" w:rsidR="003B209D" w:rsidRPr="003B209D" w:rsidRDefault="003B209D" w:rsidP="003B209D">
      <w:pPr>
        <w:numPr>
          <w:ilvl w:val="0"/>
          <w:numId w:val="5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 xml:space="preserve">Konfiguracji migracji serwerów, tak aby serwer zapasowy był zasilany w godzinach nocnych danymi serwera głównego. </w:t>
      </w:r>
    </w:p>
    <w:p w14:paraId="453A8493" w14:textId="77777777" w:rsidR="003B209D" w:rsidRPr="003B209D" w:rsidRDefault="003B209D" w:rsidP="003B209D">
      <w:pPr>
        <w:numPr>
          <w:ilvl w:val="0"/>
          <w:numId w:val="5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Wdrożenie mechanizmu pozwalającego na sporządzanie danych w trybie tzw. kopii offline umożliwiającą wdrożenie retencji danych (np. tworzenie kopii na dyskach zewnętrznych umożliwiające ich codzienną wymianę)</w:t>
      </w:r>
    </w:p>
    <w:p w14:paraId="70FCDE4E" w14:textId="77777777" w:rsidR="003B209D" w:rsidRPr="003B209D" w:rsidRDefault="003B209D" w:rsidP="003B209D">
      <w:pPr>
        <w:numPr>
          <w:ilvl w:val="0"/>
          <w:numId w:val="5"/>
        </w:numPr>
        <w:spacing w:after="0" w:line="276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lastRenderedPageBreak/>
        <w:t>Licencja systemu wirtualizacji i hosta dla systemu nie powinna być ograniczona czasowo i powinna generować kosztów licencji w przyszłości.</w:t>
      </w:r>
    </w:p>
    <w:p w14:paraId="2FE94D8C" w14:textId="77777777" w:rsidR="003B209D" w:rsidRPr="003B209D" w:rsidRDefault="003B209D" w:rsidP="003B209D">
      <w:pPr>
        <w:numPr>
          <w:ilvl w:val="0"/>
          <w:numId w:val="5"/>
        </w:numPr>
        <w:spacing w:line="259" w:lineRule="auto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  <w:r w:rsidRPr="003B209D">
        <w:rPr>
          <w:rFonts w:ascii="Calibri" w:eastAsia="Calibri" w:hAnsi="Calibri" w:cs="Times New Roman"/>
          <w:kern w:val="0"/>
          <w:sz w:val="22"/>
          <w:szCs w:val="22"/>
          <w14:ligatures w14:val="none"/>
        </w:rPr>
        <w:t>Zamawiający nie dopuszcza możliwości realizowania zadanie zdalnie.</w:t>
      </w:r>
    </w:p>
    <w:p w14:paraId="2450CD67" w14:textId="77777777" w:rsidR="003B209D" w:rsidRPr="003B209D" w:rsidRDefault="003B209D" w:rsidP="003B209D">
      <w:pPr>
        <w:spacing w:line="259" w:lineRule="auto"/>
        <w:jc w:val="both"/>
        <w:rPr>
          <w:rFonts w:ascii="Calibri" w:eastAsia="Calibri" w:hAnsi="Calibri" w:cs="Times New Roman"/>
          <w:kern w:val="0"/>
          <w:sz w:val="22"/>
          <w:szCs w:val="22"/>
          <w14:ligatures w14:val="none"/>
        </w:rPr>
      </w:pPr>
    </w:p>
    <w:p w14:paraId="104D5ACA" w14:textId="77777777" w:rsidR="003B209D" w:rsidRPr="003B209D" w:rsidRDefault="003B209D" w:rsidP="003B209D"/>
    <w:sectPr w:rsidR="003B209D" w:rsidRPr="003B209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DC9FE" w14:textId="77777777" w:rsidR="00DB5351" w:rsidRDefault="00DB5351" w:rsidP="003B209D">
      <w:pPr>
        <w:spacing w:after="0" w:line="240" w:lineRule="auto"/>
      </w:pPr>
      <w:r>
        <w:separator/>
      </w:r>
    </w:p>
  </w:endnote>
  <w:endnote w:type="continuationSeparator" w:id="0">
    <w:p w14:paraId="7BC9F2EF" w14:textId="77777777" w:rsidR="00DB5351" w:rsidRDefault="00DB5351" w:rsidP="003B20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859BBC" w14:textId="132C18BD" w:rsidR="003B209D" w:rsidRPr="003B209D" w:rsidRDefault="003B209D" w:rsidP="003B209D">
    <w:pPr>
      <w:pStyle w:val="Stopka"/>
    </w:pPr>
    <w:r w:rsidRPr="00EA5D3C">
      <w:rPr>
        <w:noProof/>
      </w:rPr>
      <w:drawing>
        <wp:inline distT="0" distB="0" distL="0" distR="0" wp14:anchorId="0B9E5BBF" wp14:editId="1FAEE24B">
          <wp:extent cx="5753100" cy="619125"/>
          <wp:effectExtent l="0" t="0" r="0" b="9525"/>
          <wp:docPr id="1485195452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619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98890" w14:textId="77777777" w:rsidR="00DB5351" w:rsidRDefault="00DB5351" w:rsidP="003B209D">
      <w:pPr>
        <w:spacing w:after="0" w:line="240" w:lineRule="auto"/>
      </w:pPr>
      <w:r>
        <w:separator/>
      </w:r>
    </w:p>
  </w:footnote>
  <w:footnote w:type="continuationSeparator" w:id="0">
    <w:p w14:paraId="256D4BCB" w14:textId="77777777" w:rsidR="00DB5351" w:rsidRDefault="00DB5351" w:rsidP="003B20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2D72A8" w14:textId="7BD17229" w:rsidR="003B209D" w:rsidRDefault="003B209D">
    <w:pPr>
      <w:pStyle w:val="Nagwek"/>
    </w:pPr>
    <w:r>
      <w:rPr>
        <w:noProof/>
      </w:rPr>
      <w:drawing>
        <wp:anchor distT="0" distB="1143" distL="114300" distR="114681" simplePos="0" relativeHeight="251658240" behindDoc="0" locked="0" layoutInCell="1" allowOverlap="1" wp14:anchorId="63FB7354" wp14:editId="3F5BAACE">
          <wp:simplePos x="0" y="0"/>
          <wp:positionH relativeFrom="margin">
            <wp:align>center</wp:align>
          </wp:positionH>
          <wp:positionV relativeFrom="page">
            <wp:posOffset>213360</wp:posOffset>
          </wp:positionV>
          <wp:extent cx="1773555" cy="962025"/>
          <wp:effectExtent l="0" t="0" r="0" b="9525"/>
          <wp:wrapSquare wrapText="bothSides"/>
          <wp:docPr id="134438431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3555" cy="9620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inline distT="0" distB="0" distL="0" distR="0" wp14:anchorId="0246325B" wp14:editId="0BDCE327">
          <wp:extent cx="1685925" cy="57150"/>
          <wp:effectExtent l="0" t="0" r="9525" b="0"/>
          <wp:docPr id="33852113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noProof/>
      </w:rPr>
      <w:drawing>
        <wp:inline distT="0" distB="0" distL="0" distR="0" wp14:anchorId="5D3D1613" wp14:editId="531C32B0">
          <wp:extent cx="1685925" cy="57150"/>
          <wp:effectExtent l="0" t="0" r="9525" b="0"/>
          <wp:docPr id="108097569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85925" cy="571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C504E9"/>
    <w:multiLevelType w:val="hybridMultilevel"/>
    <w:tmpl w:val="D66211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6A92A6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101960"/>
    <w:multiLevelType w:val="hybridMultilevel"/>
    <w:tmpl w:val="94CE3978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6D25BC5"/>
    <w:multiLevelType w:val="hybridMultilevel"/>
    <w:tmpl w:val="4732B0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6D7F12"/>
    <w:multiLevelType w:val="hybridMultilevel"/>
    <w:tmpl w:val="54F252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9D4D62"/>
    <w:multiLevelType w:val="hybridMultilevel"/>
    <w:tmpl w:val="94CE3978"/>
    <w:lvl w:ilvl="0" w:tplc="041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61D6ABAA">
      <w:start w:val="1"/>
      <w:numFmt w:val="decimal"/>
      <w:lvlText w:val="%2."/>
      <w:lvlJc w:val="left"/>
      <w:pPr>
        <w:ind w:left="1788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635721439">
    <w:abstractNumId w:val="3"/>
  </w:num>
  <w:num w:numId="2" w16cid:durableId="1410808096">
    <w:abstractNumId w:val="2"/>
  </w:num>
  <w:num w:numId="3" w16cid:durableId="1825311182">
    <w:abstractNumId w:val="0"/>
  </w:num>
  <w:num w:numId="4" w16cid:durableId="336226155">
    <w:abstractNumId w:val="4"/>
  </w:num>
  <w:num w:numId="5" w16cid:durableId="12963321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21CC"/>
    <w:rsid w:val="00015C21"/>
    <w:rsid w:val="00274510"/>
    <w:rsid w:val="0031388F"/>
    <w:rsid w:val="003B209D"/>
    <w:rsid w:val="003D767E"/>
    <w:rsid w:val="00823BD2"/>
    <w:rsid w:val="008F21CC"/>
    <w:rsid w:val="00DB5351"/>
    <w:rsid w:val="00DB5777"/>
    <w:rsid w:val="00DF7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3B1971"/>
  <w15:chartTrackingRefBased/>
  <w15:docId w15:val="{90CFB746-1E3C-4CE7-9921-FC2A2B60A1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8F21C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8F21C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8F21C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F21C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8F21C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8F21C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8F21C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F21C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8F21C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F21C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8F21C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8F21C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8F21CC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8F21CC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8F21CC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8F21CC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F21CC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8F21CC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8F21C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F21C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8F21C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8F21C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8F21C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8F21C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8F21C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8F21C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8F21C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8F21C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8F21CC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209D"/>
  </w:style>
  <w:style w:type="paragraph" w:styleId="Stopka">
    <w:name w:val="footer"/>
    <w:basedOn w:val="Normalny"/>
    <w:link w:val="StopkaZnak"/>
    <w:uiPriority w:val="99"/>
    <w:unhideWhenUsed/>
    <w:rsid w:val="003B20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20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12</Pages>
  <Words>3622</Words>
  <Characters>21732</Characters>
  <Application>Microsoft Office Word</Application>
  <DocSecurity>0</DocSecurity>
  <Lines>181</Lines>
  <Paragraphs>50</Paragraphs>
  <ScaleCrop>false</ScaleCrop>
  <Company/>
  <LinksUpToDate>false</LinksUpToDate>
  <CharactersWithSpaces>25304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Artur Rybicki</dc:creator>
  <cp:keywords/>
  <dc:description/>
  <cp:lastModifiedBy>Artur Rybicki</cp:lastModifiedBy>
  <cp:revision>3</cp:revision>
  <dcterms:created xsi:type="dcterms:W3CDTF">2025-07-15T08:06:00Z</dcterms:created>
  <dcterms:modified xsi:type="dcterms:W3CDTF">2025-07-15T08:30:00Z</dcterms:modified>
</cp:coreProperties>
</file>